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47A4E" w14:textId="42E7988B" w:rsidR="00714F2C" w:rsidRPr="00714F2C" w:rsidRDefault="00714F2C">
      <w:pPr>
        <w:rPr>
          <w:b/>
          <w:sz w:val="22"/>
          <w:szCs w:val="22"/>
        </w:rPr>
      </w:pPr>
      <w:bookmarkStart w:id="0" w:name="_GoBack"/>
      <w:r w:rsidRPr="00714F2C">
        <w:rPr>
          <w:b/>
          <w:sz w:val="22"/>
          <w:szCs w:val="22"/>
        </w:rPr>
        <w:t>Invisible Repositories, Re-Use and Reproducible Research</w:t>
      </w:r>
    </w:p>
    <w:bookmarkEnd w:id="0"/>
    <w:p w14:paraId="28F4B224" w14:textId="77777777" w:rsidR="00714F2C" w:rsidRDefault="00714F2C">
      <w:pPr>
        <w:rPr>
          <w:sz w:val="22"/>
          <w:szCs w:val="22"/>
        </w:rPr>
      </w:pPr>
    </w:p>
    <w:p w14:paraId="2FEC8425" w14:textId="72965013" w:rsidR="00F452D2" w:rsidRPr="008346A8" w:rsidRDefault="007A53A6">
      <w:pPr>
        <w:rPr>
          <w:sz w:val="22"/>
          <w:szCs w:val="22"/>
        </w:rPr>
      </w:pPr>
      <w:r w:rsidRPr="008346A8">
        <w:rPr>
          <w:sz w:val="22"/>
          <w:szCs w:val="22"/>
        </w:rPr>
        <w:t>What are the</w:t>
      </w:r>
      <w:r w:rsidR="00064844" w:rsidRPr="008346A8">
        <w:rPr>
          <w:sz w:val="22"/>
          <w:szCs w:val="22"/>
        </w:rPr>
        <w:t xml:space="preserve"> practical implications Merton’s four </w:t>
      </w:r>
      <w:r w:rsidR="00B70C08" w:rsidRPr="008346A8">
        <w:rPr>
          <w:sz w:val="22"/>
          <w:szCs w:val="22"/>
        </w:rPr>
        <w:t xml:space="preserve">institutional </w:t>
      </w:r>
      <w:r w:rsidR="00064844" w:rsidRPr="008346A8">
        <w:rPr>
          <w:sz w:val="22"/>
          <w:szCs w:val="22"/>
        </w:rPr>
        <w:t>no</w:t>
      </w:r>
      <w:r w:rsidR="00736CD8" w:rsidRPr="008346A8">
        <w:rPr>
          <w:sz w:val="22"/>
          <w:szCs w:val="22"/>
        </w:rPr>
        <w:t xml:space="preserve">rms of good scientific research </w:t>
      </w:r>
      <w:r w:rsidRPr="008346A8">
        <w:rPr>
          <w:sz w:val="22"/>
          <w:szCs w:val="22"/>
        </w:rPr>
        <w:t>to a digital repository:</w:t>
      </w:r>
      <w:r w:rsidR="00E80DEF" w:rsidRPr="008346A8">
        <w:rPr>
          <w:sz w:val="22"/>
          <w:szCs w:val="22"/>
        </w:rPr>
        <w:t xml:space="preserve"> </w:t>
      </w:r>
      <w:r w:rsidRPr="008346A8">
        <w:rPr>
          <w:sz w:val="22"/>
          <w:szCs w:val="22"/>
        </w:rPr>
        <w:t>We analyze past</w:t>
      </w:r>
      <w:r w:rsidR="00B70C08" w:rsidRPr="008346A8">
        <w:rPr>
          <w:sz w:val="22"/>
          <w:szCs w:val="22"/>
        </w:rPr>
        <w:t xml:space="preserve"> and contemporary practice in the light of the emerging function</w:t>
      </w:r>
      <w:r w:rsidR="00D7557F" w:rsidRPr="008346A8">
        <w:rPr>
          <w:sz w:val="22"/>
          <w:szCs w:val="22"/>
        </w:rPr>
        <w:t xml:space="preserve"> of repositories in research data management.</w:t>
      </w:r>
      <w:r w:rsidR="00B70C08" w:rsidRPr="008346A8">
        <w:rPr>
          <w:sz w:val="22"/>
          <w:szCs w:val="22"/>
        </w:rPr>
        <w:t xml:space="preserve"> We conclude that </w:t>
      </w:r>
      <w:r w:rsidR="00F83FA2" w:rsidRPr="008346A8">
        <w:rPr>
          <w:sz w:val="22"/>
          <w:szCs w:val="22"/>
        </w:rPr>
        <w:t>repositories fulfilling this function will</w:t>
      </w:r>
      <w:r w:rsidR="00B70C08" w:rsidRPr="008346A8">
        <w:rPr>
          <w:sz w:val="22"/>
          <w:szCs w:val="22"/>
        </w:rPr>
        <w:t xml:space="preserve"> heavily re-use existing data in order to support the reproducibility of research results </w:t>
      </w:r>
      <w:r w:rsidR="00F83FA2" w:rsidRPr="008346A8">
        <w:rPr>
          <w:sz w:val="22"/>
          <w:szCs w:val="22"/>
        </w:rPr>
        <w:t xml:space="preserve">– </w:t>
      </w:r>
      <w:r w:rsidR="00B70C08" w:rsidRPr="008346A8">
        <w:rPr>
          <w:sz w:val="22"/>
          <w:szCs w:val="22"/>
        </w:rPr>
        <w:t xml:space="preserve">and </w:t>
      </w:r>
      <w:r w:rsidRPr="008346A8">
        <w:rPr>
          <w:sz w:val="22"/>
          <w:szCs w:val="22"/>
        </w:rPr>
        <w:t>will</w:t>
      </w:r>
      <w:r w:rsidR="00B70C08" w:rsidRPr="008346A8">
        <w:rPr>
          <w:sz w:val="22"/>
          <w:szCs w:val="22"/>
        </w:rPr>
        <w:t xml:space="preserve"> </w:t>
      </w:r>
      <w:r w:rsidRPr="008346A8">
        <w:rPr>
          <w:sz w:val="22"/>
          <w:szCs w:val="22"/>
        </w:rPr>
        <w:t xml:space="preserve">shift focus from ‘shop windows’ to </w:t>
      </w:r>
      <w:r w:rsidR="008346A8">
        <w:rPr>
          <w:sz w:val="22"/>
          <w:szCs w:val="22"/>
        </w:rPr>
        <w:t xml:space="preserve">exposing </w:t>
      </w:r>
      <w:r w:rsidRPr="008346A8">
        <w:rPr>
          <w:sz w:val="22"/>
          <w:szCs w:val="22"/>
        </w:rPr>
        <w:t>data sources</w:t>
      </w:r>
      <w:r w:rsidR="008346A8">
        <w:rPr>
          <w:sz w:val="22"/>
          <w:szCs w:val="22"/>
        </w:rPr>
        <w:t xml:space="preserve"> to machines</w:t>
      </w:r>
      <w:r w:rsidRPr="008346A8">
        <w:rPr>
          <w:sz w:val="22"/>
          <w:szCs w:val="22"/>
        </w:rPr>
        <w:t xml:space="preserve">. Thereby, they might </w:t>
      </w:r>
      <w:r w:rsidR="00B70C08" w:rsidRPr="008346A8">
        <w:rPr>
          <w:sz w:val="22"/>
          <w:szCs w:val="22"/>
        </w:rPr>
        <w:t>become invisible</w:t>
      </w:r>
      <w:r w:rsidR="00736CD8" w:rsidRPr="008346A8">
        <w:rPr>
          <w:sz w:val="22"/>
          <w:szCs w:val="22"/>
        </w:rPr>
        <w:t xml:space="preserve"> to end-</w:t>
      </w:r>
      <w:r w:rsidRPr="008346A8">
        <w:rPr>
          <w:sz w:val="22"/>
          <w:szCs w:val="22"/>
        </w:rPr>
        <w:t>users</w:t>
      </w:r>
      <w:r w:rsidR="00B70C08" w:rsidRPr="008346A8">
        <w:rPr>
          <w:sz w:val="22"/>
          <w:szCs w:val="22"/>
        </w:rPr>
        <w:t xml:space="preserve">. </w:t>
      </w:r>
    </w:p>
    <w:p w14:paraId="1F9640C8" w14:textId="77777777" w:rsidR="00064844" w:rsidRPr="008346A8" w:rsidRDefault="00064844">
      <w:pPr>
        <w:rPr>
          <w:sz w:val="22"/>
          <w:szCs w:val="22"/>
        </w:rPr>
      </w:pPr>
    </w:p>
    <w:p w14:paraId="354D7119" w14:textId="328B8B75" w:rsidR="00B70C08" w:rsidRPr="008346A8" w:rsidRDefault="00B70C08">
      <w:pPr>
        <w:rPr>
          <w:sz w:val="22"/>
          <w:szCs w:val="22"/>
        </w:rPr>
      </w:pPr>
      <w:r w:rsidRPr="008346A8">
        <w:rPr>
          <w:sz w:val="22"/>
          <w:szCs w:val="22"/>
        </w:rPr>
        <w:t>Merton defined 4 norms of good scientific practice</w:t>
      </w:r>
      <w:r w:rsidR="00736CD8" w:rsidRPr="008346A8">
        <w:rPr>
          <w:sz w:val="22"/>
          <w:szCs w:val="22"/>
        </w:rPr>
        <w:t xml:space="preserve"> [1]</w:t>
      </w:r>
      <w:r w:rsidRPr="008346A8">
        <w:rPr>
          <w:sz w:val="22"/>
          <w:szCs w:val="22"/>
        </w:rPr>
        <w:t xml:space="preserve">: </w:t>
      </w:r>
    </w:p>
    <w:p w14:paraId="76F88EF3" w14:textId="77777777" w:rsidR="00B70C08" w:rsidRPr="008346A8" w:rsidRDefault="00B70C08">
      <w:pPr>
        <w:rPr>
          <w:sz w:val="22"/>
          <w:szCs w:val="22"/>
        </w:rPr>
      </w:pPr>
    </w:p>
    <w:p w14:paraId="623FFB1E" w14:textId="77777777" w:rsidR="00064844" w:rsidRPr="008346A8" w:rsidRDefault="00E80DEF" w:rsidP="00E80D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6A8">
        <w:rPr>
          <w:sz w:val="22"/>
          <w:szCs w:val="22"/>
        </w:rPr>
        <w:t>‘</w:t>
      </w:r>
      <w:r w:rsidR="00064844" w:rsidRPr="008346A8">
        <w:rPr>
          <w:sz w:val="22"/>
          <w:szCs w:val="22"/>
        </w:rPr>
        <w:t>Communalism</w:t>
      </w:r>
      <w:r w:rsidRPr="008346A8">
        <w:rPr>
          <w:sz w:val="22"/>
          <w:szCs w:val="22"/>
        </w:rPr>
        <w:t>’ refers to the claim that research results are property of the community: Repositories fulfill this function when they are open.</w:t>
      </w:r>
      <w:r w:rsidR="00DB7C8F" w:rsidRPr="008346A8">
        <w:rPr>
          <w:sz w:val="22"/>
          <w:szCs w:val="22"/>
        </w:rPr>
        <w:t xml:space="preserve"> </w:t>
      </w:r>
    </w:p>
    <w:p w14:paraId="4B918C28" w14:textId="77777777" w:rsidR="00E80DEF" w:rsidRPr="008346A8" w:rsidRDefault="00E80DEF" w:rsidP="00E80D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6A8">
        <w:rPr>
          <w:sz w:val="22"/>
          <w:szCs w:val="22"/>
        </w:rPr>
        <w:t xml:space="preserve">‘Universalism’ means that </w:t>
      </w:r>
      <w:r w:rsidR="00DB7C8F" w:rsidRPr="008346A8">
        <w:rPr>
          <w:sz w:val="22"/>
          <w:szCs w:val="22"/>
        </w:rPr>
        <w:t>everybody</w:t>
      </w:r>
      <w:r w:rsidRPr="008346A8">
        <w:rPr>
          <w:sz w:val="22"/>
          <w:szCs w:val="22"/>
        </w:rPr>
        <w:t xml:space="preserve"> should</w:t>
      </w:r>
      <w:r w:rsidR="00DB7C8F" w:rsidRPr="008346A8">
        <w:rPr>
          <w:sz w:val="22"/>
          <w:szCs w:val="22"/>
        </w:rPr>
        <w:t xml:space="preserve"> be able to contribute, for example independent of cultural or national origin: repositories can implement this function if they embed individual repositories in a global network.</w:t>
      </w:r>
    </w:p>
    <w:p w14:paraId="29BAC7B4" w14:textId="572BF84D" w:rsidR="00DB7C8F" w:rsidRPr="008346A8" w:rsidRDefault="00DB7C8F" w:rsidP="00E80D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6A8">
        <w:rPr>
          <w:sz w:val="22"/>
          <w:szCs w:val="22"/>
        </w:rPr>
        <w:t xml:space="preserve">‘Disinterestedness’ requires the greater scientific good to be valued higher than personal interests: repositories can support this function by </w:t>
      </w:r>
      <w:r w:rsidR="00033320" w:rsidRPr="008346A8">
        <w:rPr>
          <w:sz w:val="22"/>
          <w:szCs w:val="22"/>
        </w:rPr>
        <w:t>providing a neutral and unbiased platform for knowledge resources</w:t>
      </w:r>
      <w:r w:rsidRPr="008346A8">
        <w:rPr>
          <w:sz w:val="22"/>
          <w:szCs w:val="22"/>
        </w:rPr>
        <w:t>.</w:t>
      </w:r>
    </w:p>
    <w:p w14:paraId="7D8C10D0" w14:textId="77777777" w:rsidR="00DB7C8F" w:rsidRPr="008346A8" w:rsidRDefault="00DB7C8F" w:rsidP="00E80D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6A8">
        <w:rPr>
          <w:sz w:val="22"/>
          <w:szCs w:val="22"/>
        </w:rPr>
        <w:t xml:space="preserve">‘Skepticism’ </w:t>
      </w:r>
      <w:r w:rsidR="002F4E9C" w:rsidRPr="008346A8">
        <w:rPr>
          <w:sz w:val="22"/>
          <w:szCs w:val="22"/>
        </w:rPr>
        <w:t xml:space="preserve">implies critical scrutiny of research results: repositories can enable scrutiny through exposing research results </w:t>
      </w:r>
      <w:r w:rsidR="00D7557F" w:rsidRPr="008346A8">
        <w:rPr>
          <w:sz w:val="22"/>
          <w:szCs w:val="22"/>
        </w:rPr>
        <w:t>to the scientific community</w:t>
      </w:r>
      <w:r w:rsidR="002F4E9C" w:rsidRPr="008346A8">
        <w:rPr>
          <w:sz w:val="22"/>
          <w:szCs w:val="22"/>
        </w:rPr>
        <w:t xml:space="preserve">. </w:t>
      </w:r>
    </w:p>
    <w:p w14:paraId="016E0642" w14:textId="77777777" w:rsidR="002F4E9C" w:rsidRPr="008346A8" w:rsidRDefault="002F4E9C" w:rsidP="002F4E9C">
      <w:pPr>
        <w:rPr>
          <w:sz w:val="22"/>
          <w:szCs w:val="22"/>
        </w:rPr>
      </w:pPr>
    </w:p>
    <w:p w14:paraId="74F2CDD7" w14:textId="2AAE73B3" w:rsidR="00C33CA3" w:rsidRPr="008346A8" w:rsidRDefault="00D7557F" w:rsidP="002F4E9C">
      <w:pPr>
        <w:rPr>
          <w:sz w:val="22"/>
          <w:szCs w:val="22"/>
        </w:rPr>
      </w:pPr>
      <w:r w:rsidRPr="008346A8">
        <w:rPr>
          <w:sz w:val="22"/>
          <w:szCs w:val="22"/>
        </w:rPr>
        <w:t>The way</w:t>
      </w:r>
      <w:r w:rsidR="00033320" w:rsidRPr="008346A8">
        <w:rPr>
          <w:sz w:val="22"/>
          <w:szCs w:val="22"/>
        </w:rPr>
        <w:t>s</w:t>
      </w:r>
      <w:r w:rsidRPr="008346A8">
        <w:rPr>
          <w:sz w:val="22"/>
          <w:szCs w:val="22"/>
        </w:rPr>
        <w:t xml:space="preserve"> in which open reposi</w:t>
      </w:r>
      <w:r w:rsidR="00033320" w:rsidRPr="008346A8">
        <w:rPr>
          <w:sz w:val="22"/>
          <w:szCs w:val="22"/>
        </w:rPr>
        <w:t>tories support Merton’s norms are</w:t>
      </w:r>
      <w:r w:rsidRPr="008346A8">
        <w:rPr>
          <w:sz w:val="22"/>
          <w:szCs w:val="22"/>
        </w:rPr>
        <w:t xml:space="preserve"> so obvious that its explanation appears almost trivial. But the practical implications </w:t>
      </w:r>
      <w:r w:rsidR="00C33CA3" w:rsidRPr="008346A8">
        <w:rPr>
          <w:sz w:val="22"/>
          <w:szCs w:val="22"/>
        </w:rPr>
        <w:t xml:space="preserve">may be substantial and </w:t>
      </w:r>
      <w:r w:rsidRPr="008346A8">
        <w:rPr>
          <w:sz w:val="22"/>
          <w:szCs w:val="22"/>
        </w:rPr>
        <w:t xml:space="preserve">manifold. </w:t>
      </w:r>
    </w:p>
    <w:p w14:paraId="21CFB655" w14:textId="77777777" w:rsidR="00C33CA3" w:rsidRPr="008346A8" w:rsidRDefault="00C33CA3" w:rsidP="002F4E9C">
      <w:pPr>
        <w:rPr>
          <w:sz w:val="22"/>
          <w:szCs w:val="22"/>
        </w:rPr>
      </w:pPr>
    </w:p>
    <w:p w14:paraId="3892983F" w14:textId="2ED655AD" w:rsidR="002F4E9C" w:rsidRPr="008346A8" w:rsidRDefault="00D7557F" w:rsidP="002F4E9C">
      <w:pPr>
        <w:rPr>
          <w:sz w:val="22"/>
          <w:szCs w:val="22"/>
        </w:rPr>
      </w:pPr>
      <w:r w:rsidRPr="008346A8">
        <w:rPr>
          <w:sz w:val="22"/>
          <w:szCs w:val="22"/>
        </w:rPr>
        <w:t xml:space="preserve">The recent discussion about using repositories in research data management might result in a renaissance of the idea of </w:t>
      </w:r>
      <w:r w:rsidR="00033320" w:rsidRPr="008346A8">
        <w:rPr>
          <w:sz w:val="22"/>
          <w:szCs w:val="22"/>
        </w:rPr>
        <w:t xml:space="preserve">original idea of </w:t>
      </w:r>
      <w:r w:rsidR="00736CD8" w:rsidRPr="008346A8">
        <w:rPr>
          <w:sz w:val="22"/>
          <w:szCs w:val="22"/>
        </w:rPr>
        <w:t>the “Institutional R</w:t>
      </w:r>
      <w:r w:rsidRPr="008346A8">
        <w:rPr>
          <w:sz w:val="22"/>
          <w:szCs w:val="22"/>
        </w:rPr>
        <w:t>epository” [</w:t>
      </w:r>
      <w:r w:rsidR="00736CD8" w:rsidRPr="008346A8">
        <w:rPr>
          <w:sz w:val="22"/>
          <w:szCs w:val="22"/>
        </w:rPr>
        <w:t>2</w:t>
      </w:r>
      <w:r w:rsidRPr="008346A8">
        <w:rPr>
          <w:sz w:val="22"/>
          <w:szCs w:val="22"/>
        </w:rPr>
        <w:t xml:space="preserve">]. </w:t>
      </w:r>
      <w:r w:rsidR="00C33CA3" w:rsidRPr="008346A8">
        <w:rPr>
          <w:sz w:val="22"/>
          <w:szCs w:val="22"/>
        </w:rPr>
        <w:t>And i</w:t>
      </w:r>
      <w:r w:rsidRPr="008346A8">
        <w:rPr>
          <w:sz w:val="22"/>
          <w:szCs w:val="22"/>
        </w:rPr>
        <w:t>t is noteworthy in this c</w:t>
      </w:r>
      <w:r w:rsidR="00C33CA3" w:rsidRPr="008346A8">
        <w:rPr>
          <w:sz w:val="22"/>
          <w:szCs w:val="22"/>
        </w:rPr>
        <w:t>ontext that Merton refers to his</w:t>
      </w:r>
      <w:r w:rsidR="00736CD8" w:rsidRPr="008346A8">
        <w:rPr>
          <w:sz w:val="22"/>
          <w:szCs w:val="22"/>
        </w:rPr>
        <w:t xml:space="preserve"> norms as institutional p</w:t>
      </w:r>
      <w:r w:rsidRPr="008346A8">
        <w:rPr>
          <w:sz w:val="22"/>
          <w:szCs w:val="22"/>
        </w:rPr>
        <w:t xml:space="preserve">roperties. However, the idea of the </w:t>
      </w:r>
      <w:r w:rsidR="00736CD8" w:rsidRPr="008346A8">
        <w:rPr>
          <w:sz w:val="22"/>
          <w:szCs w:val="22"/>
        </w:rPr>
        <w:t>I</w:t>
      </w:r>
      <w:r w:rsidRPr="008346A8">
        <w:rPr>
          <w:sz w:val="22"/>
          <w:szCs w:val="22"/>
        </w:rPr>
        <w:t>nstitutional</w:t>
      </w:r>
      <w:r w:rsidR="00736CD8" w:rsidRPr="008346A8">
        <w:rPr>
          <w:sz w:val="22"/>
          <w:szCs w:val="22"/>
        </w:rPr>
        <w:t xml:space="preserve"> R</w:t>
      </w:r>
      <w:r w:rsidRPr="008346A8">
        <w:rPr>
          <w:sz w:val="22"/>
          <w:szCs w:val="22"/>
        </w:rPr>
        <w:t>epository</w:t>
      </w:r>
      <w:r w:rsidR="00736CD8" w:rsidRPr="008346A8">
        <w:rPr>
          <w:sz w:val="22"/>
          <w:szCs w:val="22"/>
        </w:rPr>
        <w:t xml:space="preserve"> (IR)</w:t>
      </w:r>
      <w:r w:rsidRPr="008346A8">
        <w:rPr>
          <w:sz w:val="22"/>
          <w:szCs w:val="22"/>
        </w:rPr>
        <w:t xml:space="preserve"> has not been without criticism, especially with respect to the observation that many of them are empty [</w:t>
      </w:r>
      <w:r w:rsidR="00736CD8" w:rsidRPr="008346A8">
        <w:rPr>
          <w:sz w:val="22"/>
          <w:szCs w:val="22"/>
        </w:rPr>
        <w:t>3</w:t>
      </w:r>
      <w:r w:rsidRPr="008346A8">
        <w:rPr>
          <w:sz w:val="22"/>
          <w:szCs w:val="22"/>
        </w:rPr>
        <w:t>]. It is therefore the right time to ask critica</w:t>
      </w:r>
      <w:r w:rsidR="00C33CA3" w:rsidRPr="008346A8">
        <w:rPr>
          <w:sz w:val="22"/>
          <w:szCs w:val="22"/>
        </w:rPr>
        <w:t>l questions about lessons learnt and what can be done better in the future.</w:t>
      </w:r>
    </w:p>
    <w:p w14:paraId="6AE779A8" w14:textId="77777777" w:rsidR="00C33CA3" w:rsidRPr="008346A8" w:rsidRDefault="00C33CA3" w:rsidP="002F4E9C">
      <w:pPr>
        <w:rPr>
          <w:sz w:val="22"/>
          <w:szCs w:val="22"/>
        </w:rPr>
      </w:pPr>
    </w:p>
    <w:p w14:paraId="4D331AE4" w14:textId="6CBCDE4A" w:rsidR="00172450" w:rsidRPr="008346A8" w:rsidRDefault="00736CD8" w:rsidP="002F4E9C">
      <w:pPr>
        <w:rPr>
          <w:sz w:val="22"/>
          <w:szCs w:val="22"/>
        </w:rPr>
      </w:pPr>
      <w:r w:rsidRPr="008346A8">
        <w:rPr>
          <w:sz w:val="22"/>
          <w:szCs w:val="22"/>
        </w:rPr>
        <w:t xml:space="preserve">Considering Merton’s norms, it could be assumed that </w:t>
      </w:r>
      <w:r w:rsidR="00C33CA3" w:rsidRPr="008346A8">
        <w:rPr>
          <w:sz w:val="22"/>
          <w:szCs w:val="22"/>
        </w:rPr>
        <w:t xml:space="preserve">IRs </w:t>
      </w:r>
      <w:proofErr w:type="gramStart"/>
      <w:r w:rsidR="00C33CA3" w:rsidRPr="008346A8">
        <w:rPr>
          <w:sz w:val="22"/>
          <w:szCs w:val="22"/>
        </w:rPr>
        <w:t>have</w:t>
      </w:r>
      <w:proofErr w:type="gramEnd"/>
      <w:r w:rsidR="00C33CA3" w:rsidRPr="008346A8">
        <w:rPr>
          <w:sz w:val="22"/>
          <w:szCs w:val="22"/>
        </w:rPr>
        <w:t xml:space="preserve"> failed</w:t>
      </w:r>
      <w:r w:rsidRPr="008346A8">
        <w:rPr>
          <w:sz w:val="22"/>
          <w:szCs w:val="22"/>
        </w:rPr>
        <w:t xml:space="preserve"> to put the value for research</w:t>
      </w:r>
      <w:r w:rsidR="00C33CA3" w:rsidRPr="008346A8">
        <w:rPr>
          <w:sz w:val="22"/>
          <w:szCs w:val="22"/>
        </w:rPr>
        <w:t xml:space="preserve"> in the center of its raison d'être and </w:t>
      </w:r>
      <w:r w:rsidRPr="008346A8">
        <w:rPr>
          <w:sz w:val="22"/>
          <w:szCs w:val="22"/>
        </w:rPr>
        <w:t>introduced repositories as an alien</w:t>
      </w:r>
      <w:r w:rsidR="00C33CA3" w:rsidRPr="008346A8">
        <w:rPr>
          <w:sz w:val="22"/>
          <w:szCs w:val="22"/>
        </w:rPr>
        <w:t xml:space="preserve"> </w:t>
      </w:r>
      <w:r w:rsidRPr="008346A8">
        <w:rPr>
          <w:sz w:val="22"/>
          <w:szCs w:val="22"/>
        </w:rPr>
        <w:t>to research practice</w:t>
      </w:r>
      <w:r w:rsidR="00C33CA3" w:rsidRPr="008346A8">
        <w:rPr>
          <w:sz w:val="22"/>
          <w:szCs w:val="22"/>
        </w:rPr>
        <w:t xml:space="preserve">. </w:t>
      </w:r>
    </w:p>
    <w:p w14:paraId="3C9B7638" w14:textId="77777777" w:rsidR="00172450" w:rsidRPr="008346A8" w:rsidRDefault="00172450" w:rsidP="002F4E9C">
      <w:pPr>
        <w:rPr>
          <w:sz w:val="22"/>
          <w:szCs w:val="22"/>
        </w:rPr>
      </w:pPr>
    </w:p>
    <w:p w14:paraId="7ABB8921" w14:textId="625B836E" w:rsidR="006A6192" w:rsidRPr="008346A8" w:rsidRDefault="00A75804" w:rsidP="001008E6">
      <w:pPr>
        <w:rPr>
          <w:sz w:val="22"/>
          <w:szCs w:val="22"/>
        </w:rPr>
      </w:pPr>
      <w:r w:rsidRPr="008346A8">
        <w:rPr>
          <w:sz w:val="22"/>
          <w:szCs w:val="22"/>
        </w:rPr>
        <w:t xml:space="preserve">We will analyze selected examples of practice (see also Table 1). </w:t>
      </w:r>
      <w:r w:rsidR="006A6192" w:rsidRPr="008346A8">
        <w:rPr>
          <w:sz w:val="22"/>
          <w:szCs w:val="22"/>
        </w:rPr>
        <w:t>For the sake of simplicity, we will focus on the function of a repository as managing text-based publications for scholarly journal articles</w:t>
      </w:r>
      <w:r w:rsidRPr="008346A8">
        <w:rPr>
          <w:sz w:val="22"/>
          <w:szCs w:val="22"/>
        </w:rPr>
        <w:t xml:space="preserve">, i.e. </w:t>
      </w:r>
      <w:r w:rsidR="00EB24AF" w:rsidRPr="008346A8">
        <w:rPr>
          <w:sz w:val="22"/>
          <w:szCs w:val="22"/>
        </w:rPr>
        <w:t>bibliographic data</w:t>
      </w:r>
      <w:r w:rsidR="006A6192" w:rsidRPr="008346A8">
        <w:rPr>
          <w:sz w:val="22"/>
          <w:szCs w:val="22"/>
        </w:rPr>
        <w:t xml:space="preserve">. </w:t>
      </w:r>
      <w:r w:rsidR="00EB24AF" w:rsidRPr="008346A8">
        <w:rPr>
          <w:sz w:val="22"/>
          <w:szCs w:val="22"/>
        </w:rPr>
        <w:t>G</w:t>
      </w:r>
      <w:r w:rsidR="001008E6" w:rsidRPr="008346A8">
        <w:rPr>
          <w:sz w:val="22"/>
          <w:szCs w:val="22"/>
        </w:rPr>
        <w:t xml:space="preserve">enuine research data management </w:t>
      </w:r>
      <w:r w:rsidR="00EB24AF" w:rsidRPr="008346A8">
        <w:rPr>
          <w:sz w:val="22"/>
          <w:szCs w:val="22"/>
        </w:rPr>
        <w:t xml:space="preserve">– as well as </w:t>
      </w:r>
      <w:proofErr w:type="spellStart"/>
      <w:r w:rsidR="00EB24AF" w:rsidRPr="008346A8">
        <w:rPr>
          <w:sz w:val="22"/>
          <w:szCs w:val="22"/>
        </w:rPr>
        <w:t>digitizations</w:t>
      </w:r>
      <w:proofErr w:type="spellEnd"/>
      <w:r w:rsidR="00EB24AF" w:rsidRPr="008346A8">
        <w:rPr>
          <w:sz w:val="22"/>
          <w:szCs w:val="22"/>
        </w:rPr>
        <w:t xml:space="preserve"> and monograph publications –</w:t>
      </w:r>
      <w:r w:rsidR="00096A15" w:rsidRPr="008346A8">
        <w:rPr>
          <w:sz w:val="22"/>
          <w:szCs w:val="22"/>
        </w:rPr>
        <w:t xml:space="preserve"> </w:t>
      </w:r>
      <w:r w:rsidR="001008E6" w:rsidRPr="008346A8">
        <w:rPr>
          <w:sz w:val="22"/>
          <w:szCs w:val="22"/>
        </w:rPr>
        <w:t xml:space="preserve">will not be </w:t>
      </w:r>
      <w:r w:rsidR="00EB24AF" w:rsidRPr="008346A8">
        <w:rPr>
          <w:sz w:val="22"/>
          <w:szCs w:val="22"/>
        </w:rPr>
        <w:t>considered in depth</w:t>
      </w:r>
      <w:r w:rsidR="001008E6" w:rsidRPr="008346A8">
        <w:rPr>
          <w:sz w:val="22"/>
          <w:szCs w:val="22"/>
        </w:rPr>
        <w:t xml:space="preserve">. However, as a minimal common denominator between bibliographic data management and research data management, we consider the guidance on </w:t>
      </w:r>
      <w:r w:rsidR="00096A15" w:rsidRPr="008346A8">
        <w:rPr>
          <w:sz w:val="22"/>
          <w:szCs w:val="22"/>
        </w:rPr>
        <w:t>open access by RCUK that papers</w:t>
      </w:r>
      <w:r w:rsidR="001008E6" w:rsidRPr="008346A8">
        <w:rPr>
          <w:sz w:val="22"/>
          <w:szCs w:val="22"/>
        </w:rPr>
        <w:t xml:space="preserve"> </w:t>
      </w:r>
      <w:r w:rsidR="001008E6" w:rsidRPr="008346A8">
        <w:rPr>
          <w:i/>
          <w:sz w:val="22"/>
          <w:szCs w:val="22"/>
        </w:rPr>
        <w:t>“</w:t>
      </w:r>
      <w:r w:rsidR="00096A15" w:rsidRPr="008346A8">
        <w:rPr>
          <w:i/>
          <w:sz w:val="22"/>
          <w:szCs w:val="22"/>
        </w:rPr>
        <w:t xml:space="preserve">… </w:t>
      </w:r>
      <w:r w:rsidR="001008E6" w:rsidRPr="008346A8">
        <w:rPr>
          <w:i/>
          <w:sz w:val="22"/>
          <w:szCs w:val="22"/>
        </w:rPr>
        <w:t>must include … a statement on how the underlying research materials – such as data, sampl</w:t>
      </w:r>
      <w:r w:rsidR="00EB24AF" w:rsidRPr="008346A8">
        <w:rPr>
          <w:i/>
          <w:sz w:val="22"/>
          <w:szCs w:val="22"/>
        </w:rPr>
        <w:t>es or models – can be accessed</w:t>
      </w:r>
      <w:r w:rsidR="00096A15" w:rsidRPr="008346A8">
        <w:rPr>
          <w:i/>
          <w:sz w:val="22"/>
          <w:szCs w:val="22"/>
        </w:rPr>
        <w:t xml:space="preserve"> …</w:t>
      </w:r>
      <w:r w:rsidR="00EB24AF" w:rsidRPr="008346A8">
        <w:rPr>
          <w:i/>
          <w:sz w:val="22"/>
          <w:szCs w:val="22"/>
        </w:rPr>
        <w:t>”</w:t>
      </w:r>
      <w:r w:rsidR="00EB24AF" w:rsidRPr="008346A8">
        <w:rPr>
          <w:sz w:val="22"/>
          <w:szCs w:val="22"/>
        </w:rPr>
        <w:t xml:space="preserve"> [4]</w:t>
      </w:r>
      <w:r w:rsidRPr="008346A8">
        <w:rPr>
          <w:sz w:val="22"/>
          <w:szCs w:val="22"/>
        </w:rPr>
        <w:t>.</w:t>
      </w:r>
    </w:p>
    <w:p w14:paraId="58459A86" w14:textId="77777777" w:rsidR="00A75804" w:rsidRPr="008346A8" w:rsidRDefault="00A75804" w:rsidP="001008E6">
      <w:pPr>
        <w:rPr>
          <w:sz w:val="22"/>
          <w:szCs w:val="22"/>
        </w:rPr>
      </w:pPr>
    </w:p>
    <w:p w14:paraId="72A49A5C" w14:textId="6A34EA19" w:rsidR="00A75804" w:rsidRPr="008346A8" w:rsidRDefault="00A75804" w:rsidP="001008E6">
      <w:pPr>
        <w:rPr>
          <w:sz w:val="22"/>
          <w:szCs w:val="22"/>
        </w:rPr>
      </w:pPr>
      <w:r w:rsidRPr="008346A8">
        <w:rPr>
          <w:sz w:val="22"/>
          <w:szCs w:val="22"/>
        </w:rPr>
        <w:t>Table 1.</w:t>
      </w:r>
      <w:r w:rsidR="008346A8">
        <w:rPr>
          <w:sz w:val="22"/>
          <w:szCs w:val="22"/>
        </w:rPr>
        <w:t xml:space="preserve"> </w:t>
      </w:r>
      <w:proofErr w:type="gramStart"/>
      <w:r w:rsidR="008346A8">
        <w:rPr>
          <w:sz w:val="22"/>
          <w:szCs w:val="22"/>
        </w:rPr>
        <w:t>Different practices in Institutional Repositorie</w:t>
      </w:r>
      <w:r w:rsidR="00096A15" w:rsidRPr="008346A8">
        <w:rPr>
          <w:sz w:val="22"/>
          <w:szCs w:val="22"/>
        </w:rPr>
        <w:t>s.</w:t>
      </w:r>
      <w:proofErr w:type="gramEnd"/>
    </w:p>
    <w:p w14:paraId="0788B240" w14:textId="77777777" w:rsidR="001008E6" w:rsidRPr="008346A8" w:rsidRDefault="001008E6" w:rsidP="0017245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EB24AF" w:rsidRPr="008346A8" w14:paraId="050FC150" w14:textId="77777777" w:rsidTr="00EB24AF">
        <w:tc>
          <w:tcPr>
            <w:tcW w:w="2838" w:type="dxa"/>
          </w:tcPr>
          <w:p w14:paraId="1DBFF4F6" w14:textId="6ADC2A30" w:rsidR="00EB24AF" w:rsidRPr="008346A8" w:rsidRDefault="00A75804" w:rsidP="00172450">
            <w:pPr>
              <w:rPr>
                <w:b/>
                <w:sz w:val="22"/>
                <w:szCs w:val="22"/>
              </w:rPr>
            </w:pPr>
            <w:r w:rsidRPr="008346A8">
              <w:rPr>
                <w:b/>
                <w:sz w:val="22"/>
                <w:szCs w:val="22"/>
              </w:rPr>
              <w:t>Conventional Practice</w:t>
            </w:r>
          </w:p>
        </w:tc>
        <w:tc>
          <w:tcPr>
            <w:tcW w:w="2839" w:type="dxa"/>
          </w:tcPr>
          <w:p w14:paraId="682532E5" w14:textId="1B4B5572" w:rsidR="00EB24AF" w:rsidRPr="008346A8" w:rsidRDefault="00A75804" w:rsidP="00172450">
            <w:pPr>
              <w:rPr>
                <w:b/>
                <w:sz w:val="22"/>
                <w:szCs w:val="22"/>
              </w:rPr>
            </w:pPr>
            <w:r w:rsidRPr="008346A8">
              <w:rPr>
                <w:b/>
                <w:sz w:val="22"/>
                <w:szCs w:val="22"/>
              </w:rPr>
              <w:t>Emerging Practice</w:t>
            </w:r>
          </w:p>
        </w:tc>
        <w:tc>
          <w:tcPr>
            <w:tcW w:w="2839" w:type="dxa"/>
          </w:tcPr>
          <w:p w14:paraId="761E5780" w14:textId="5AF5BAB3" w:rsidR="00EB24AF" w:rsidRPr="008346A8" w:rsidRDefault="00A75804" w:rsidP="00172450">
            <w:pPr>
              <w:rPr>
                <w:b/>
                <w:sz w:val="22"/>
                <w:szCs w:val="22"/>
              </w:rPr>
            </w:pPr>
            <w:r w:rsidRPr="008346A8">
              <w:rPr>
                <w:b/>
                <w:sz w:val="22"/>
                <w:szCs w:val="22"/>
              </w:rPr>
              <w:t>Research Data Practice</w:t>
            </w:r>
          </w:p>
        </w:tc>
      </w:tr>
      <w:tr w:rsidR="00EB24AF" w:rsidRPr="008346A8" w14:paraId="29CD7D87" w14:textId="77777777" w:rsidTr="00EB24AF">
        <w:tc>
          <w:tcPr>
            <w:tcW w:w="2838" w:type="dxa"/>
          </w:tcPr>
          <w:p w14:paraId="4877DE9F" w14:textId="3B68624D" w:rsidR="00EB24AF" w:rsidRPr="008346A8" w:rsidRDefault="00EB24AF" w:rsidP="00A75804">
            <w:pPr>
              <w:rPr>
                <w:sz w:val="22"/>
                <w:szCs w:val="22"/>
              </w:rPr>
            </w:pPr>
            <w:r w:rsidRPr="008346A8">
              <w:rPr>
                <w:sz w:val="22"/>
                <w:szCs w:val="22"/>
              </w:rPr>
              <w:t>IRs relying on manual data input</w:t>
            </w:r>
          </w:p>
        </w:tc>
        <w:tc>
          <w:tcPr>
            <w:tcW w:w="2839" w:type="dxa"/>
          </w:tcPr>
          <w:p w14:paraId="39A45B52" w14:textId="7AE69D45" w:rsidR="00EB24AF" w:rsidRPr="008346A8" w:rsidRDefault="00EB24AF" w:rsidP="00172450">
            <w:pPr>
              <w:rPr>
                <w:sz w:val="22"/>
                <w:szCs w:val="22"/>
              </w:rPr>
            </w:pPr>
            <w:r w:rsidRPr="008346A8">
              <w:rPr>
                <w:sz w:val="22"/>
                <w:szCs w:val="22"/>
              </w:rPr>
              <w:t xml:space="preserve">IRs relying on pre-existing data: </w:t>
            </w:r>
            <w:proofErr w:type="spellStart"/>
            <w:r w:rsidRPr="008346A8">
              <w:rPr>
                <w:sz w:val="22"/>
                <w:szCs w:val="22"/>
              </w:rPr>
              <w:t>CrossRef</w:t>
            </w:r>
            <w:proofErr w:type="spellEnd"/>
            <w:r w:rsidRPr="008346A8">
              <w:rPr>
                <w:sz w:val="22"/>
                <w:szCs w:val="22"/>
              </w:rPr>
              <w:t xml:space="preserve">, Web of Knowledge, PubMed, </w:t>
            </w:r>
            <w:proofErr w:type="spellStart"/>
            <w:r w:rsidRPr="008346A8">
              <w:rPr>
                <w:sz w:val="22"/>
                <w:szCs w:val="22"/>
              </w:rPr>
              <w:t>Ar</w:t>
            </w:r>
            <w:r w:rsidR="00096A15" w:rsidRPr="008346A8">
              <w:rPr>
                <w:sz w:val="22"/>
                <w:szCs w:val="22"/>
              </w:rPr>
              <w:t>Xiv</w:t>
            </w:r>
            <w:proofErr w:type="spellEnd"/>
            <w:r w:rsidR="00096A15" w:rsidRPr="008346A8">
              <w:rPr>
                <w:sz w:val="22"/>
                <w:szCs w:val="22"/>
              </w:rPr>
              <w:t xml:space="preserve">, Inspires, monograph </w:t>
            </w:r>
            <w:r w:rsidR="00096A15" w:rsidRPr="008346A8">
              <w:rPr>
                <w:sz w:val="22"/>
                <w:szCs w:val="22"/>
              </w:rPr>
              <w:lastRenderedPageBreak/>
              <w:t xml:space="preserve">catalogues </w:t>
            </w:r>
            <w:proofErr w:type="spellStart"/>
            <w:r w:rsidRPr="008346A8"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839" w:type="dxa"/>
          </w:tcPr>
          <w:p w14:paraId="71501F4B" w14:textId="56622E55" w:rsidR="00EB24AF" w:rsidRPr="008346A8" w:rsidRDefault="00A75804" w:rsidP="00A75804">
            <w:pPr>
              <w:rPr>
                <w:sz w:val="22"/>
                <w:szCs w:val="22"/>
              </w:rPr>
            </w:pPr>
            <w:r w:rsidRPr="008346A8">
              <w:rPr>
                <w:sz w:val="22"/>
                <w:szCs w:val="22"/>
              </w:rPr>
              <w:lastRenderedPageBreak/>
              <w:t>IRs relying on minimal met</w:t>
            </w:r>
            <w:r w:rsidR="00096A15" w:rsidRPr="008346A8">
              <w:rPr>
                <w:sz w:val="22"/>
                <w:szCs w:val="22"/>
              </w:rPr>
              <w:t xml:space="preserve">adata, automatic data creation and the </w:t>
            </w:r>
            <w:r w:rsidRPr="008346A8">
              <w:rPr>
                <w:sz w:val="22"/>
                <w:szCs w:val="22"/>
              </w:rPr>
              <w:t xml:space="preserve">re-use of data from </w:t>
            </w:r>
            <w:proofErr w:type="spellStart"/>
            <w:r w:rsidRPr="008346A8">
              <w:rPr>
                <w:sz w:val="22"/>
                <w:szCs w:val="22"/>
              </w:rPr>
              <w:t>DataCite</w:t>
            </w:r>
            <w:proofErr w:type="spellEnd"/>
            <w:r w:rsidRPr="008346A8">
              <w:rPr>
                <w:sz w:val="22"/>
                <w:szCs w:val="22"/>
              </w:rPr>
              <w:t xml:space="preserve">, Dryad, </w:t>
            </w:r>
            <w:r w:rsidRPr="008346A8">
              <w:rPr>
                <w:sz w:val="22"/>
                <w:szCs w:val="22"/>
              </w:rPr>
              <w:lastRenderedPageBreak/>
              <w:t>NCBI, World Data Centers</w:t>
            </w:r>
          </w:p>
        </w:tc>
      </w:tr>
      <w:tr w:rsidR="00EB24AF" w:rsidRPr="008346A8" w14:paraId="7D27A231" w14:textId="77777777" w:rsidTr="00EB24AF">
        <w:tc>
          <w:tcPr>
            <w:tcW w:w="2838" w:type="dxa"/>
          </w:tcPr>
          <w:p w14:paraId="4B55727E" w14:textId="0732C1BC" w:rsidR="00EB24AF" w:rsidRPr="008346A8" w:rsidRDefault="00EB24AF" w:rsidP="00EB24AF">
            <w:pPr>
              <w:rPr>
                <w:sz w:val="22"/>
                <w:szCs w:val="22"/>
              </w:rPr>
            </w:pPr>
            <w:r w:rsidRPr="008346A8">
              <w:rPr>
                <w:sz w:val="22"/>
                <w:szCs w:val="22"/>
              </w:rPr>
              <w:lastRenderedPageBreak/>
              <w:t>IRs d</w:t>
            </w:r>
            <w:r w:rsidR="00A75804" w:rsidRPr="008346A8">
              <w:rPr>
                <w:sz w:val="22"/>
                <w:szCs w:val="22"/>
              </w:rPr>
              <w:t>uplicating data available elsew</w:t>
            </w:r>
            <w:r w:rsidRPr="008346A8">
              <w:rPr>
                <w:sz w:val="22"/>
                <w:szCs w:val="22"/>
              </w:rPr>
              <w:t>here</w:t>
            </w:r>
          </w:p>
        </w:tc>
        <w:tc>
          <w:tcPr>
            <w:tcW w:w="2839" w:type="dxa"/>
          </w:tcPr>
          <w:p w14:paraId="28162C6F" w14:textId="009A811E" w:rsidR="00EB24AF" w:rsidRPr="008346A8" w:rsidRDefault="00A75804" w:rsidP="00A75804">
            <w:pPr>
              <w:rPr>
                <w:sz w:val="22"/>
                <w:szCs w:val="22"/>
              </w:rPr>
            </w:pPr>
            <w:r w:rsidRPr="008346A8">
              <w:rPr>
                <w:sz w:val="22"/>
                <w:szCs w:val="22"/>
              </w:rPr>
              <w:t>IRs support d</w:t>
            </w:r>
            <w:r w:rsidR="00EB24AF" w:rsidRPr="008346A8">
              <w:rPr>
                <w:sz w:val="22"/>
                <w:szCs w:val="22"/>
              </w:rPr>
              <w:t>isambiguation of author names</w:t>
            </w:r>
            <w:r w:rsidRPr="008346A8">
              <w:rPr>
                <w:sz w:val="22"/>
                <w:szCs w:val="22"/>
              </w:rPr>
              <w:t xml:space="preserve">, department names, </w:t>
            </w:r>
            <w:r w:rsidR="00EB24AF" w:rsidRPr="008346A8">
              <w:rPr>
                <w:sz w:val="22"/>
                <w:szCs w:val="22"/>
              </w:rPr>
              <w:t>Grant IDs</w:t>
            </w:r>
            <w:r w:rsidRPr="008346A8">
              <w:rPr>
                <w:sz w:val="22"/>
                <w:szCs w:val="22"/>
              </w:rPr>
              <w:t xml:space="preserve"> as well different sources and versions as well as different citation formats</w:t>
            </w:r>
          </w:p>
        </w:tc>
        <w:tc>
          <w:tcPr>
            <w:tcW w:w="2839" w:type="dxa"/>
          </w:tcPr>
          <w:p w14:paraId="75B35DEF" w14:textId="30D646FD" w:rsidR="00EB24AF" w:rsidRPr="008346A8" w:rsidRDefault="00A75804" w:rsidP="00172450">
            <w:pPr>
              <w:rPr>
                <w:sz w:val="22"/>
                <w:szCs w:val="22"/>
              </w:rPr>
            </w:pPr>
            <w:r w:rsidRPr="008346A8">
              <w:rPr>
                <w:sz w:val="22"/>
                <w:szCs w:val="22"/>
              </w:rPr>
              <w:t>IRs focus on use cases for data not hel</w:t>
            </w:r>
            <w:r w:rsidR="00096A15" w:rsidRPr="008346A8">
              <w:rPr>
                <w:sz w:val="22"/>
                <w:szCs w:val="22"/>
              </w:rPr>
              <w:t>d</w:t>
            </w:r>
            <w:r w:rsidRPr="008346A8">
              <w:rPr>
                <w:sz w:val="22"/>
                <w:szCs w:val="22"/>
              </w:rPr>
              <w:t xml:space="preserve"> els</w:t>
            </w:r>
            <w:r w:rsidR="00096A15" w:rsidRPr="008346A8">
              <w:rPr>
                <w:sz w:val="22"/>
                <w:szCs w:val="22"/>
              </w:rPr>
              <w:t>e</w:t>
            </w:r>
            <w:r w:rsidRPr="008346A8">
              <w:rPr>
                <w:sz w:val="22"/>
                <w:szCs w:val="22"/>
              </w:rPr>
              <w:t>where</w:t>
            </w:r>
            <w:r w:rsidR="00096A15" w:rsidRPr="008346A8">
              <w:rPr>
                <w:sz w:val="22"/>
                <w:szCs w:val="22"/>
              </w:rPr>
              <w:t xml:space="preserve"> (long-tail) and enrich bibliographic data with data-links</w:t>
            </w:r>
          </w:p>
        </w:tc>
      </w:tr>
      <w:tr w:rsidR="00EB24AF" w:rsidRPr="008346A8" w14:paraId="69C6DC64" w14:textId="77777777" w:rsidTr="00EB24AF">
        <w:tc>
          <w:tcPr>
            <w:tcW w:w="2838" w:type="dxa"/>
          </w:tcPr>
          <w:p w14:paraId="7486221E" w14:textId="7132D54F" w:rsidR="00EB24AF" w:rsidRPr="008346A8" w:rsidRDefault="00EB24AF" w:rsidP="00172450">
            <w:pPr>
              <w:rPr>
                <w:sz w:val="22"/>
                <w:szCs w:val="22"/>
              </w:rPr>
            </w:pPr>
            <w:r w:rsidRPr="008346A8">
              <w:rPr>
                <w:sz w:val="22"/>
                <w:szCs w:val="22"/>
              </w:rPr>
              <w:t xml:space="preserve">IRs providing a </w:t>
            </w:r>
            <w:r w:rsidR="00096A15" w:rsidRPr="008346A8">
              <w:rPr>
                <w:sz w:val="22"/>
                <w:szCs w:val="22"/>
              </w:rPr>
              <w:t>‘</w:t>
            </w:r>
            <w:r w:rsidRPr="008346A8">
              <w:rPr>
                <w:sz w:val="22"/>
                <w:szCs w:val="22"/>
              </w:rPr>
              <w:t>shop window</w:t>
            </w:r>
            <w:r w:rsidR="00096A15" w:rsidRPr="008346A8">
              <w:rPr>
                <w:sz w:val="22"/>
                <w:szCs w:val="22"/>
              </w:rPr>
              <w:t>’</w:t>
            </w:r>
          </w:p>
        </w:tc>
        <w:tc>
          <w:tcPr>
            <w:tcW w:w="2839" w:type="dxa"/>
          </w:tcPr>
          <w:p w14:paraId="58D7BD87" w14:textId="71A0932A" w:rsidR="00EB24AF" w:rsidRPr="008346A8" w:rsidRDefault="00A75804" w:rsidP="00096A15">
            <w:pPr>
              <w:rPr>
                <w:sz w:val="22"/>
                <w:szCs w:val="22"/>
              </w:rPr>
            </w:pPr>
            <w:r w:rsidRPr="008346A8">
              <w:rPr>
                <w:sz w:val="22"/>
                <w:szCs w:val="22"/>
              </w:rPr>
              <w:t>IRs support discovery in search engines, embedding in personal pages, departmental pages and offer data via APIs (e.g. for research funders</w:t>
            </w:r>
            <w:r w:rsidR="00096A15" w:rsidRPr="008346A8">
              <w:rPr>
                <w:sz w:val="22"/>
                <w:szCs w:val="22"/>
              </w:rPr>
              <w:t>’</w:t>
            </w:r>
            <w:r w:rsidRPr="008346A8">
              <w:rPr>
                <w:sz w:val="22"/>
                <w:szCs w:val="22"/>
              </w:rPr>
              <w:t xml:space="preserve"> systems)</w:t>
            </w:r>
          </w:p>
        </w:tc>
        <w:tc>
          <w:tcPr>
            <w:tcW w:w="2839" w:type="dxa"/>
          </w:tcPr>
          <w:p w14:paraId="678EBBC8" w14:textId="625D27EB" w:rsidR="00EB24AF" w:rsidRPr="008346A8" w:rsidRDefault="00096A15" w:rsidP="00096A15">
            <w:pPr>
              <w:rPr>
                <w:sz w:val="22"/>
                <w:szCs w:val="22"/>
              </w:rPr>
            </w:pPr>
            <w:r w:rsidRPr="008346A8">
              <w:rPr>
                <w:sz w:val="22"/>
                <w:szCs w:val="22"/>
              </w:rPr>
              <w:t>IRs provide private access for researchers and collaborative groups in the data creation phase and support data mining via APIs</w:t>
            </w:r>
          </w:p>
        </w:tc>
      </w:tr>
    </w:tbl>
    <w:p w14:paraId="222AED16" w14:textId="77777777" w:rsidR="006A6192" w:rsidRPr="008346A8" w:rsidRDefault="006A6192" w:rsidP="00172450">
      <w:pPr>
        <w:rPr>
          <w:sz w:val="22"/>
          <w:szCs w:val="22"/>
        </w:rPr>
      </w:pPr>
    </w:p>
    <w:p w14:paraId="5CCB1335" w14:textId="340E1D61" w:rsidR="00A75804" w:rsidRPr="008346A8" w:rsidRDefault="008346A8" w:rsidP="00A75804">
      <w:pPr>
        <w:rPr>
          <w:sz w:val="22"/>
          <w:szCs w:val="22"/>
        </w:rPr>
      </w:pPr>
      <w:r>
        <w:rPr>
          <w:sz w:val="22"/>
          <w:szCs w:val="22"/>
        </w:rPr>
        <w:t>Considering the practices shown in Table 1, the</w:t>
      </w:r>
      <w:r w:rsidR="00A75804" w:rsidRPr="008346A8">
        <w:rPr>
          <w:sz w:val="22"/>
          <w:szCs w:val="22"/>
        </w:rPr>
        <w:t xml:space="preserve"> following principles for IRs </w:t>
      </w:r>
      <w:r>
        <w:rPr>
          <w:sz w:val="22"/>
          <w:szCs w:val="22"/>
        </w:rPr>
        <w:t>are proposed</w:t>
      </w:r>
      <w:r w:rsidR="00A75804" w:rsidRPr="008346A8">
        <w:rPr>
          <w:sz w:val="22"/>
          <w:szCs w:val="22"/>
        </w:rPr>
        <w:t>:</w:t>
      </w:r>
    </w:p>
    <w:p w14:paraId="75ACCAF7" w14:textId="77777777" w:rsidR="00A75804" w:rsidRPr="008346A8" w:rsidRDefault="00A75804" w:rsidP="00A75804">
      <w:pPr>
        <w:rPr>
          <w:sz w:val="22"/>
          <w:szCs w:val="22"/>
        </w:rPr>
      </w:pPr>
    </w:p>
    <w:p w14:paraId="00F36975" w14:textId="1C89F1C6" w:rsidR="00A75804" w:rsidRPr="008346A8" w:rsidRDefault="00A75804" w:rsidP="00A7580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346A8">
        <w:rPr>
          <w:sz w:val="22"/>
          <w:szCs w:val="22"/>
        </w:rPr>
        <w:t>Re-use: IRs should seek the re-use of existing data wherever possible to prevent double effort</w:t>
      </w:r>
      <w:r w:rsidR="008346A8">
        <w:rPr>
          <w:sz w:val="22"/>
          <w:szCs w:val="22"/>
        </w:rPr>
        <w:t>.</w:t>
      </w:r>
    </w:p>
    <w:p w14:paraId="15216D92" w14:textId="77777777" w:rsidR="00A75804" w:rsidRPr="008346A8" w:rsidRDefault="00A75804" w:rsidP="00A7580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346A8">
        <w:rPr>
          <w:sz w:val="22"/>
          <w:szCs w:val="22"/>
        </w:rPr>
        <w:t>Unique Value: IRs should focus on functions that are not already provided elsewhere.</w:t>
      </w:r>
    </w:p>
    <w:p w14:paraId="3E753921" w14:textId="77777777" w:rsidR="00A75804" w:rsidRPr="008346A8" w:rsidRDefault="00A75804" w:rsidP="00A7580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346A8">
        <w:rPr>
          <w:sz w:val="22"/>
          <w:szCs w:val="22"/>
        </w:rPr>
        <w:t>Embedding: IRs should be embedded in the researcher’s everyday life and display information in tools and services that the researcher uses.</w:t>
      </w:r>
    </w:p>
    <w:p w14:paraId="321D8A15" w14:textId="77777777" w:rsidR="00A75804" w:rsidRPr="008346A8" w:rsidRDefault="00A75804" w:rsidP="00A75804">
      <w:pPr>
        <w:rPr>
          <w:sz w:val="22"/>
          <w:szCs w:val="22"/>
        </w:rPr>
      </w:pPr>
    </w:p>
    <w:p w14:paraId="3CDAA1B0" w14:textId="546CFE73" w:rsidR="00096A15" w:rsidRPr="008346A8" w:rsidRDefault="00096A15" w:rsidP="00A75804">
      <w:pPr>
        <w:rPr>
          <w:sz w:val="22"/>
          <w:szCs w:val="22"/>
        </w:rPr>
      </w:pPr>
      <w:r w:rsidRPr="008346A8">
        <w:rPr>
          <w:sz w:val="22"/>
          <w:szCs w:val="22"/>
        </w:rPr>
        <w:t>By providing an institutional version of record for publications and linking this record to (records) of research data</w:t>
      </w:r>
      <w:r w:rsidR="00DC1D99" w:rsidRPr="008346A8">
        <w:rPr>
          <w:sz w:val="22"/>
          <w:szCs w:val="22"/>
        </w:rPr>
        <w:t>, IRs could achieve a vital role in the supporting the reproducibility of research in an ever more complex and volatile system of research communication. However, a deep understanding of research practice, reliability of operations and attention to detail are indispensable requirements.</w:t>
      </w:r>
    </w:p>
    <w:p w14:paraId="383AA50C" w14:textId="77777777" w:rsidR="00096A15" w:rsidRPr="008346A8" w:rsidRDefault="00096A15" w:rsidP="00A75804">
      <w:pPr>
        <w:rPr>
          <w:sz w:val="22"/>
          <w:szCs w:val="22"/>
        </w:rPr>
      </w:pPr>
    </w:p>
    <w:p w14:paraId="324716C1" w14:textId="68E69891" w:rsidR="00A75804" w:rsidRPr="008346A8" w:rsidRDefault="00DC1D99" w:rsidP="00A75804">
      <w:pPr>
        <w:rPr>
          <w:sz w:val="22"/>
          <w:szCs w:val="22"/>
        </w:rPr>
      </w:pPr>
      <w:r w:rsidRPr="008346A8">
        <w:rPr>
          <w:sz w:val="22"/>
          <w:szCs w:val="22"/>
        </w:rPr>
        <w:t>When</w:t>
      </w:r>
      <w:r w:rsidR="00A75804" w:rsidRPr="008346A8">
        <w:rPr>
          <w:sz w:val="22"/>
          <w:szCs w:val="22"/>
        </w:rPr>
        <w:t xml:space="preserve"> following these principles, it may well be that repositories will </w:t>
      </w:r>
      <w:r w:rsidRPr="008346A8">
        <w:rPr>
          <w:sz w:val="22"/>
          <w:szCs w:val="22"/>
        </w:rPr>
        <w:t>adopt</w:t>
      </w:r>
      <w:r w:rsidR="00A75804" w:rsidRPr="008346A8">
        <w:rPr>
          <w:sz w:val="22"/>
          <w:szCs w:val="22"/>
        </w:rPr>
        <w:t xml:space="preserve"> a completely different </w:t>
      </w:r>
      <w:r w:rsidRPr="008346A8">
        <w:rPr>
          <w:sz w:val="22"/>
          <w:szCs w:val="22"/>
        </w:rPr>
        <w:t>shape</w:t>
      </w:r>
      <w:r w:rsidR="00A75804" w:rsidRPr="008346A8">
        <w:rPr>
          <w:sz w:val="22"/>
          <w:szCs w:val="22"/>
        </w:rPr>
        <w:t xml:space="preserve"> from what we know </w:t>
      </w:r>
      <w:r w:rsidRPr="008346A8">
        <w:rPr>
          <w:sz w:val="22"/>
          <w:szCs w:val="22"/>
        </w:rPr>
        <w:t xml:space="preserve">today </w:t>
      </w:r>
      <w:r w:rsidR="00A75804" w:rsidRPr="008346A8">
        <w:rPr>
          <w:sz w:val="22"/>
          <w:szCs w:val="22"/>
        </w:rPr>
        <w:t>– they might become invisible.</w:t>
      </w:r>
    </w:p>
    <w:p w14:paraId="6BCDFCAF" w14:textId="77777777" w:rsidR="00096A15" w:rsidRPr="008346A8" w:rsidRDefault="00096A15" w:rsidP="00172450">
      <w:pPr>
        <w:rPr>
          <w:sz w:val="22"/>
          <w:szCs w:val="22"/>
        </w:rPr>
      </w:pPr>
    </w:p>
    <w:p w14:paraId="27BCC082" w14:textId="77777777" w:rsidR="00494439" w:rsidRPr="008346A8" w:rsidRDefault="00494439" w:rsidP="00172450">
      <w:pPr>
        <w:rPr>
          <w:sz w:val="22"/>
          <w:szCs w:val="22"/>
        </w:rPr>
      </w:pPr>
      <w:r w:rsidRPr="008346A8">
        <w:rPr>
          <w:sz w:val="22"/>
          <w:szCs w:val="22"/>
        </w:rPr>
        <w:t xml:space="preserve">Demonstrations on ORA, </w:t>
      </w:r>
      <w:r w:rsidR="001950B6" w:rsidRPr="008346A8">
        <w:rPr>
          <w:sz w:val="22"/>
          <w:szCs w:val="22"/>
        </w:rPr>
        <w:t xml:space="preserve">and </w:t>
      </w:r>
      <w:proofErr w:type="spellStart"/>
      <w:r w:rsidR="001950B6" w:rsidRPr="008346A8">
        <w:rPr>
          <w:sz w:val="22"/>
          <w:szCs w:val="22"/>
        </w:rPr>
        <w:t>DaMaRO</w:t>
      </w:r>
      <w:proofErr w:type="spellEnd"/>
      <w:r w:rsidR="001950B6" w:rsidRPr="008346A8">
        <w:rPr>
          <w:sz w:val="22"/>
          <w:szCs w:val="22"/>
        </w:rPr>
        <w:t xml:space="preserve">, especially </w:t>
      </w:r>
      <w:proofErr w:type="spellStart"/>
      <w:r w:rsidRPr="008346A8">
        <w:rPr>
          <w:sz w:val="22"/>
          <w:szCs w:val="22"/>
        </w:rPr>
        <w:t>DataBank</w:t>
      </w:r>
      <w:proofErr w:type="spellEnd"/>
      <w:r w:rsidRPr="008346A8">
        <w:rPr>
          <w:sz w:val="22"/>
          <w:szCs w:val="22"/>
        </w:rPr>
        <w:t xml:space="preserve"> and </w:t>
      </w:r>
      <w:proofErr w:type="spellStart"/>
      <w:r w:rsidRPr="008346A8">
        <w:rPr>
          <w:sz w:val="22"/>
          <w:szCs w:val="22"/>
        </w:rPr>
        <w:t>DataFinder</w:t>
      </w:r>
      <w:proofErr w:type="spellEnd"/>
      <w:r w:rsidRPr="008346A8">
        <w:rPr>
          <w:sz w:val="22"/>
          <w:szCs w:val="22"/>
        </w:rPr>
        <w:t xml:space="preserve"> will be provided in the presen</w:t>
      </w:r>
      <w:r w:rsidR="001950B6" w:rsidRPr="008346A8">
        <w:rPr>
          <w:sz w:val="22"/>
          <w:szCs w:val="22"/>
        </w:rPr>
        <w:t xml:space="preserve">tation </w:t>
      </w:r>
      <w:r w:rsidRPr="008346A8">
        <w:rPr>
          <w:sz w:val="22"/>
          <w:szCs w:val="22"/>
        </w:rPr>
        <w:t xml:space="preserve">as </w:t>
      </w:r>
      <w:r w:rsidR="001950B6" w:rsidRPr="008346A8">
        <w:rPr>
          <w:sz w:val="22"/>
          <w:szCs w:val="22"/>
        </w:rPr>
        <w:t>practical examples.</w:t>
      </w:r>
    </w:p>
    <w:p w14:paraId="0F320E07" w14:textId="77777777" w:rsidR="00172450" w:rsidRPr="008346A8" w:rsidRDefault="00172450">
      <w:pPr>
        <w:rPr>
          <w:sz w:val="22"/>
          <w:szCs w:val="22"/>
        </w:rPr>
      </w:pPr>
    </w:p>
    <w:p w14:paraId="4C88C280" w14:textId="77777777" w:rsidR="001008E6" w:rsidRPr="008346A8" w:rsidRDefault="001008E6">
      <w:pPr>
        <w:rPr>
          <w:sz w:val="22"/>
          <w:szCs w:val="22"/>
        </w:rPr>
      </w:pPr>
    </w:p>
    <w:p w14:paraId="60C1C01D" w14:textId="77777777" w:rsidR="00736CD8" w:rsidRPr="008346A8" w:rsidRDefault="00736CD8" w:rsidP="00736CD8">
      <w:pPr>
        <w:rPr>
          <w:rFonts w:eastAsia="Times New Roman" w:cs="Times New Roman"/>
          <w:sz w:val="22"/>
          <w:szCs w:val="22"/>
          <w:lang w:val="en-GB"/>
        </w:rPr>
      </w:pPr>
      <w:r w:rsidRPr="008346A8">
        <w:rPr>
          <w:rFonts w:eastAsia="Times New Roman" w:cs="Arial"/>
          <w:color w:val="222222"/>
          <w:sz w:val="22"/>
          <w:szCs w:val="22"/>
          <w:shd w:val="clear" w:color="auto" w:fill="FFFFFF"/>
          <w:lang w:val="en-GB"/>
        </w:rPr>
        <w:t>Merton, Robert K. </w:t>
      </w:r>
      <w:r w:rsidRPr="008346A8">
        <w:rPr>
          <w:rFonts w:eastAsia="Times New Roman" w:cs="Arial"/>
          <w:i/>
          <w:iCs/>
          <w:color w:val="222222"/>
          <w:sz w:val="22"/>
          <w:szCs w:val="22"/>
          <w:shd w:val="clear" w:color="auto" w:fill="FFFFFF"/>
          <w:lang w:val="en-GB"/>
        </w:rPr>
        <w:t>The sociology of science: Theoretical and empirical investigations</w:t>
      </w:r>
      <w:r w:rsidRPr="008346A8">
        <w:rPr>
          <w:rFonts w:eastAsia="Times New Roman" w:cs="Arial"/>
          <w:color w:val="222222"/>
          <w:sz w:val="22"/>
          <w:szCs w:val="22"/>
          <w:shd w:val="clear" w:color="auto" w:fill="FFFFFF"/>
          <w:lang w:val="en-GB"/>
        </w:rPr>
        <w:t xml:space="preserve">. </w:t>
      </w:r>
      <w:proofErr w:type="gramStart"/>
      <w:r w:rsidRPr="008346A8">
        <w:rPr>
          <w:rFonts w:eastAsia="Times New Roman" w:cs="Arial"/>
          <w:color w:val="222222"/>
          <w:sz w:val="22"/>
          <w:szCs w:val="22"/>
          <w:shd w:val="clear" w:color="auto" w:fill="FFFFFF"/>
          <w:lang w:val="en-GB"/>
        </w:rPr>
        <w:t>University of Chicago press, 1979.</w:t>
      </w:r>
      <w:proofErr w:type="gramEnd"/>
    </w:p>
    <w:p w14:paraId="2F468F1E" w14:textId="77777777" w:rsidR="00736CD8" w:rsidRPr="008346A8" w:rsidRDefault="00736CD8">
      <w:pPr>
        <w:rPr>
          <w:sz w:val="22"/>
          <w:szCs w:val="22"/>
        </w:rPr>
      </w:pPr>
    </w:p>
    <w:p w14:paraId="10B29D3B" w14:textId="77777777" w:rsidR="00736CD8" w:rsidRPr="008346A8" w:rsidRDefault="00736CD8" w:rsidP="00736CD8">
      <w:pPr>
        <w:rPr>
          <w:rFonts w:eastAsia="Times New Roman" w:cs="Times New Roman"/>
          <w:sz w:val="22"/>
          <w:szCs w:val="22"/>
          <w:lang w:val="en-GB"/>
        </w:rPr>
      </w:pPr>
      <w:proofErr w:type="gramStart"/>
      <w:r w:rsidRPr="008346A8">
        <w:rPr>
          <w:rFonts w:eastAsia="Times New Roman" w:cs="Arial"/>
          <w:color w:val="222222"/>
          <w:sz w:val="22"/>
          <w:szCs w:val="22"/>
          <w:shd w:val="clear" w:color="auto" w:fill="FFFFFF"/>
          <w:lang w:val="en-GB"/>
        </w:rPr>
        <w:t>Lynch, C. A. (2003).</w:t>
      </w:r>
      <w:proofErr w:type="gramEnd"/>
      <w:r w:rsidRPr="008346A8">
        <w:rPr>
          <w:rFonts w:eastAsia="Times New Roman" w:cs="Arial"/>
          <w:color w:val="222222"/>
          <w:sz w:val="22"/>
          <w:szCs w:val="22"/>
          <w:shd w:val="clear" w:color="auto" w:fill="FFFFFF"/>
          <w:lang w:val="en-GB"/>
        </w:rPr>
        <w:t xml:space="preserve"> Institutional repositories: essential infrastructure for scholarship in the digital age. </w:t>
      </w:r>
      <w:proofErr w:type="gramStart"/>
      <w:r w:rsidRPr="008346A8">
        <w:rPr>
          <w:rFonts w:eastAsia="Times New Roman" w:cs="Arial"/>
          <w:i/>
          <w:iCs/>
          <w:color w:val="222222"/>
          <w:sz w:val="22"/>
          <w:szCs w:val="22"/>
          <w:shd w:val="clear" w:color="auto" w:fill="FFFFFF"/>
          <w:lang w:val="en-GB"/>
        </w:rPr>
        <w:t>portal</w:t>
      </w:r>
      <w:proofErr w:type="gramEnd"/>
      <w:r w:rsidRPr="008346A8">
        <w:rPr>
          <w:rFonts w:eastAsia="Times New Roman" w:cs="Arial"/>
          <w:i/>
          <w:iCs/>
          <w:color w:val="222222"/>
          <w:sz w:val="22"/>
          <w:szCs w:val="22"/>
          <w:shd w:val="clear" w:color="auto" w:fill="FFFFFF"/>
          <w:lang w:val="en-GB"/>
        </w:rPr>
        <w:t>: Libraries and the Academy</w:t>
      </w:r>
      <w:r w:rsidRPr="008346A8">
        <w:rPr>
          <w:rFonts w:eastAsia="Times New Roman" w:cs="Arial"/>
          <w:color w:val="222222"/>
          <w:sz w:val="22"/>
          <w:szCs w:val="22"/>
          <w:shd w:val="clear" w:color="auto" w:fill="FFFFFF"/>
          <w:lang w:val="en-GB"/>
        </w:rPr>
        <w:t>, </w:t>
      </w:r>
      <w:r w:rsidRPr="008346A8">
        <w:rPr>
          <w:rFonts w:eastAsia="Times New Roman" w:cs="Arial"/>
          <w:i/>
          <w:iCs/>
          <w:color w:val="222222"/>
          <w:sz w:val="22"/>
          <w:szCs w:val="22"/>
          <w:shd w:val="clear" w:color="auto" w:fill="FFFFFF"/>
          <w:lang w:val="en-GB"/>
        </w:rPr>
        <w:t>3</w:t>
      </w:r>
      <w:r w:rsidRPr="008346A8">
        <w:rPr>
          <w:rFonts w:eastAsia="Times New Roman" w:cs="Arial"/>
          <w:color w:val="222222"/>
          <w:sz w:val="22"/>
          <w:szCs w:val="22"/>
          <w:shd w:val="clear" w:color="auto" w:fill="FFFFFF"/>
          <w:lang w:val="en-GB"/>
        </w:rPr>
        <w:t>(2), 327-336.</w:t>
      </w:r>
    </w:p>
    <w:p w14:paraId="6901BB67" w14:textId="77777777" w:rsidR="00736CD8" w:rsidRPr="008346A8" w:rsidRDefault="00736CD8">
      <w:pPr>
        <w:rPr>
          <w:sz w:val="22"/>
          <w:szCs w:val="22"/>
        </w:rPr>
      </w:pPr>
    </w:p>
    <w:p w14:paraId="148E4441" w14:textId="77777777" w:rsidR="00736CD8" w:rsidRPr="008346A8" w:rsidRDefault="00736CD8" w:rsidP="00736CD8">
      <w:pPr>
        <w:rPr>
          <w:rFonts w:eastAsia="Times New Roman" w:cs="Times New Roman"/>
          <w:sz w:val="22"/>
          <w:szCs w:val="22"/>
          <w:lang w:val="en-GB"/>
        </w:rPr>
      </w:pPr>
      <w:r w:rsidRPr="008346A8">
        <w:rPr>
          <w:rFonts w:eastAsia="Times New Roman" w:cs="Arial"/>
          <w:color w:val="222222"/>
          <w:sz w:val="22"/>
          <w:szCs w:val="22"/>
          <w:shd w:val="clear" w:color="auto" w:fill="FFFFFF"/>
          <w:lang w:val="en-GB"/>
        </w:rPr>
        <w:t xml:space="preserve">Swan, Alma, and Leslie Carr. "Institutions, their repositories and the </w:t>
      </w:r>
      <w:proofErr w:type="spellStart"/>
      <w:r w:rsidRPr="008346A8">
        <w:rPr>
          <w:rFonts w:eastAsia="Times New Roman" w:cs="Arial"/>
          <w:color w:val="222222"/>
          <w:sz w:val="22"/>
          <w:szCs w:val="22"/>
          <w:shd w:val="clear" w:color="auto" w:fill="FFFFFF"/>
          <w:lang w:val="en-GB"/>
        </w:rPr>
        <w:t>Web."</w:t>
      </w:r>
      <w:r w:rsidRPr="008346A8">
        <w:rPr>
          <w:rFonts w:eastAsia="Times New Roman" w:cs="Arial"/>
          <w:i/>
          <w:iCs/>
          <w:color w:val="222222"/>
          <w:sz w:val="22"/>
          <w:szCs w:val="22"/>
          <w:shd w:val="clear" w:color="auto" w:fill="FFFFFF"/>
          <w:lang w:val="en-GB"/>
        </w:rPr>
        <w:t>Serials</w:t>
      </w:r>
      <w:proofErr w:type="spellEnd"/>
      <w:r w:rsidRPr="008346A8">
        <w:rPr>
          <w:rFonts w:eastAsia="Times New Roman" w:cs="Arial"/>
          <w:i/>
          <w:iCs/>
          <w:color w:val="222222"/>
          <w:sz w:val="22"/>
          <w:szCs w:val="22"/>
          <w:shd w:val="clear" w:color="auto" w:fill="FFFFFF"/>
          <w:lang w:val="en-GB"/>
        </w:rPr>
        <w:t xml:space="preserve"> review</w:t>
      </w:r>
      <w:r w:rsidRPr="008346A8">
        <w:rPr>
          <w:rFonts w:eastAsia="Times New Roman" w:cs="Arial"/>
          <w:color w:val="222222"/>
          <w:sz w:val="22"/>
          <w:szCs w:val="22"/>
          <w:shd w:val="clear" w:color="auto" w:fill="FFFFFF"/>
          <w:lang w:val="en-GB"/>
        </w:rPr>
        <w:t> 34.1 (2008): 31-35.</w:t>
      </w:r>
    </w:p>
    <w:p w14:paraId="76D32D4A" w14:textId="77777777" w:rsidR="00736CD8" w:rsidRPr="008346A8" w:rsidRDefault="00736CD8">
      <w:pPr>
        <w:rPr>
          <w:sz w:val="22"/>
          <w:szCs w:val="22"/>
        </w:rPr>
      </w:pPr>
    </w:p>
    <w:p w14:paraId="0D4FFC45" w14:textId="3417F1E4" w:rsidR="008F674A" w:rsidRPr="008346A8" w:rsidRDefault="00EB24AF">
      <w:pPr>
        <w:rPr>
          <w:sz w:val="22"/>
          <w:szCs w:val="22"/>
        </w:rPr>
      </w:pPr>
      <w:proofErr w:type="gramStart"/>
      <w:r w:rsidRPr="008346A8">
        <w:rPr>
          <w:sz w:val="22"/>
          <w:szCs w:val="22"/>
        </w:rPr>
        <w:t>Research Councils UK.</w:t>
      </w:r>
      <w:proofErr w:type="gramEnd"/>
      <w:r w:rsidRPr="008346A8">
        <w:rPr>
          <w:sz w:val="22"/>
          <w:szCs w:val="22"/>
        </w:rPr>
        <w:t xml:space="preserve"> Website accessed 4 March 2013. </w:t>
      </w:r>
      <w:r w:rsidR="008F674A" w:rsidRPr="008346A8">
        <w:rPr>
          <w:sz w:val="22"/>
          <w:szCs w:val="22"/>
        </w:rPr>
        <w:t>http://www.rcuk.ac.uk/documents/documents/RCUK%20_Policy_on_Access_to_Research_Outputs.pdf</w:t>
      </w:r>
      <w:r w:rsidRPr="008346A8">
        <w:rPr>
          <w:sz w:val="22"/>
          <w:szCs w:val="22"/>
        </w:rPr>
        <w:t xml:space="preserve"> (2013)</w:t>
      </w:r>
    </w:p>
    <w:p w14:paraId="359A79E0" w14:textId="77777777" w:rsidR="001008E6" w:rsidRPr="008346A8" w:rsidRDefault="001008E6">
      <w:pPr>
        <w:rPr>
          <w:sz w:val="22"/>
          <w:szCs w:val="22"/>
        </w:rPr>
      </w:pPr>
    </w:p>
    <w:sectPr w:rsidR="001008E6" w:rsidRPr="008346A8" w:rsidSect="00035BD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431F"/>
    <w:multiLevelType w:val="hybridMultilevel"/>
    <w:tmpl w:val="867CE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A02B0"/>
    <w:multiLevelType w:val="hybridMultilevel"/>
    <w:tmpl w:val="49D2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817F1"/>
    <w:multiLevelType w:val="hybridMultilevel"/>
    <w:tmpl w:val="849E2BA8"/>
    <w:lvl w:ilvl="0" w:tplc="881C01E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44"/>
    <w:rsid w:val="00033320"/>
    <w:rsid w:val="00035BDA"/>
    <w:rsid w:val="00064844"/>
    <w:rsid w:val="00096A15"/>
    <w:rsid w:val="001008E6"/>
    <w:rsid w:val="00172450"/>
    <w:rsid w:val="001950B6"/>
    <w:rsid w:val="002F4E9C"/>
    <w:rsid w:val="00494439"/>
    <w:rsid w:val="006A6192"/>
    <w:rsid w:val="00714F2C"/>
    <w:rsid w:val="00736CD8"/>
    <w:rsid w:val="007A53A6"/>
    <w:rsid w:val="008346A8"/>
    <w:rsid w:val="008F674A"/>
    <w:rsid w:val="00A75804"/>
    <w:rsid w:val="00AC3D12"/>
    <w:rsid w:val="00B70C08"/>
    <w:rsid w:val="00C33CA3"/>
    <w:rsid w:val="00D7557F"/>
    <w:rsid w:val="00DB7C8F"/>
    <w:rsid w:val="00DC1D99"/>
    <w:rsid w:val="00E80DEF"/>
    <w:rsid w:val="00EB24AF"/>
    <w:rsid w:val="00F452D2"/>
    <w:rsid w:val="00F83F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36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C3D12"/>
    <w:rPr>
      <w:rFonts w:ascii="Times New Roman" w:hAnsi="Times New Roman"/>
      <w:i/>
      <w:color w:val="0000FF"/>
      <w:sz w:val="24"/>
      <w:u w:val="none"/>
    </w:rPr>
  </w:style>
  <w:style w:type="paragraph" w:styleId="ListParagraph">
    <w:name w:val="List Paragraph"/>
    <w:basedOn w:val="Normal"/>
    <w:uiPriority w:val="34"/>
    <w:qFormat/>
    <w:rsid w:val="00E80D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6CD8"/>
  </w:style>
  <w:style w:type="table" w:styleId="TableGrid">
    <w:name w:val="Table Grid"/>
    <w:basedOn w:val="TableNormal"/>
    <w:uiPriority w:val="59"/>
    <w:rsid w:val="00EB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C3D12"/>
    <w:rPr>
      <w:rFonts w:ascii="Times New Roman" w:hAnsi="Times New Roman"/>
      <w:i/>
      <w:color w:val="0000FF"/>
      <w:sz w:val="24"/>
      <w:u w:val="none"/>
    </w:rPr>
  </w:style>
  <w:style w:type="paragraph" w:styleId="ListParagraph">
    <w:name w:val="List Paragraph"/>
    <w:basedOn w:val="Normal"/>
    <w:uiPriority w:val="34"/>
    <w:qFormat/>
    <w:rsid w:val="00E80D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6CD8"/>
  </w:style>
  <w:style w:type="table" w:styleId="TableGrid">
    <w:name w:val="Table Grid"/>
    <w:basedOn w:val="TableNormal"/>
    <w:uiPriority w:val="59"/>
    <w:rsid w:val="00EB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842</Words>
  <Characters>4804</Characters>
  <Application>Microsoft Macintosh Word</Application>
  <DocSecurity>0</DocSecurity>
  <Lines>40</Lines>
  <Paragraphs>11</Paragraphs>
  <ScaleCrop>false</ScaleCrop>
  <Company>Bodleian Libraries, University of Oxford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</dc:creator>
  <cp:keywords/>
  <dc:description/>
  <cp:lastModifiedBy>Wolfram</cp:lastModifiedBy>
  <cp:revision>7</cp:revision>
  <dcterms:created xsi:type="dcterms:W3CDTF">2013-03-05T01:39:00Z</dcterms:created>
  <dcterms:modified xsi:type="dcterms:W3CDTF">2013-03-05T11:37:00Z</dcterms:modified>
</cp:coreProperties>
</file>